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4877" w14:textId="3D93F532" w:rsidR="00B115C4" w:rsidRPr="00E40FBD" w:rsidRDefault="00E011C8" w:rsidP="00B115C4">
      <w:pPr>
        <w:keepNext/>
        <w:jc w:val="center"/>
        <w:rPr>
          <w:rFonts w:ascii="Calibri" w:hAnsi="Calibri" w:cs="Arial"/>
          <w:b/>
          <w:bCs/>
        </w:rPr>
      </w:pPr>
      <w:r w:rsidRPr="0042747C">
        <w:rPr>
          <w:rFonts w:ascii="Calibri" w:hAnsi="Calibri" w:cs="Arial"/>
          <w:b/>
          <w:noProof/>
          <w:lang w:eastAsia="en-GB"/>
        </w:rPr>
        <w:drawing>
          <wp:inline distT="0" distB="0" distL="0" distR="0" wp14:anchorId="015F91AF" wp14:editId="23786E76">
            <wp:extent cx="1226820" cy="967740"/>
            <wp:effectExtent l="0" t="0" r="0" b="0"/>
            <wp:docPr id="1" name="Picture 1" descr="TW logo_colour_27mm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 logo_colour_27mm we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1DA12" w14:textId="77777777" w:rsidR="00B115C4" w:rsidRPr="00E40FBD" w:rsidRDefault="00B115C4" w:rsidP="00B115C4">
      <w:pPr>
        <w:keepNext/>
        <w:rPr>
          <w:rFonts w:ascii="Calibri" w:hAnsi="Calibri" w:cs="Arial"/>
          <w:b/>
          <w:bCs/>
        </w:rPr>
      </w:pPr>
    </w:p>
    <w:p w14:paraId="5ED79A09" w14:textId="77777777" w:rsidR="00B115C4" w:rsidRPr="00E65100" w:rsidRDefault="00B115C4" w:rsidP="00B115C4">
      <w:pPr>
        <w:pStyle w:val="Heading1"/>
        <w:rPr>
          <w:sz w:val="24"/>
          <w:szCs w:val="24"/>
        </w:rPr>
      </w:pPr>
      <w:r w:rsidRPr="00E65100">
        <w:rPr>
          <w:sz w:val="24"/>
          <w:szCs w:val="24"/>
        </w:rPr>
        <w:t>Job Description</w:t>
      </w:r>
    </w:p>
    <w:p w14:paraId="103D3FA3" w14:textId="77777777" w:rsidR="00B115C4" w:rsidRPr="00D82054" w:rsidRDefault="00B115C4" w:rsidP="00B115C4">
      <w:pPr>
        <w:keepNext/>
        <w:jc w:val="center"/>
        <w:rPr>
          <w:rFonts w:ascii="Arial" w:hAnsi="Arial" w:cs="Arial"/>
          <w:b/>
          <w:bCs/>
        </w:rPr>
      </w:pPr>
    </w:p>
    <w:p w14:paraId="18BF0711" w14:textId="77777777" w:rsidR="00B115C4" w:rsidRPr="00D82054" w:rsidRDefault="00B115C4" w:rsidP="00B115C4">
      <w:pPr>
        <w:keepNext/>
        <w:rPr>
          <w:rFonts w:ascii="Arial" w:hAnsi="Arial" w:cs="Arial"/>
        </w:rPr>
      </w:pPr>
    </w:p>
    <w:p w14:paraId="737EC926" w14:textId="6E6A1E00" w:rsidR="00D82054" w:rsidRPr="00D82054" w:rsidRDefault="00B115C4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 w:rsidRPr="00D82054">
        <w:rPr>
          <w:rFonts w:ascii="Arial" w:hAnsi="Arial" w:cs="Arial"/>
          <w:b/>
          <w:bCs/>
        </w:rPr>
        <w:t>Post Title:</w:t>
      </w:r>
      <w:r w:rsidRPr="00D82054">
        <w:rPr>
          <w:rFonts w:ascii="Arial" w:hAnsi="Arial" w:cs="Arial"/>
          <w:b/>
          <w:bCs/>
        </w:rPr>
        <w:tab/>
      </w:r>
      <w:r w:rsidR="004D700D">
        <w:rPr>
          <w:rFonts w:ascii="Arial" w:hAnsi="Arial" w:cs="Arial"/>
          <w:b/>
          <w:bCs/>
        </w:rPr>
        <w:t xml:space="preserve">Climate Change </w:t>
      </w:r>
      <w:r w:rsidR="0085718E">
        <w:rPr>
          <w:rFonts w:ascii="Arial" w:hAnsi="Arial" w:cs="Arial"/>
          <w:b/>
          <w:bCs/>
        </w:rPr>
        <w:t>&amp; Energy Efficiency</w:t>
      </w:r>
      <w:r w:rsidR="000E5DB0">
        <w:rPr>
          <w:rFonts w:ascii="Arial" w:hAnsi="Arial" w:cs="Arial"/>
          <w:b/>
          <w:bCs/>
        </w:rPr>
        <w:t xml:space="preserve"> </w:t>
      </w:r>
      <w:r w:rsidR="004D700D">
        <w:rPr>
          <w:rFonts w:ascii="Arial" w:hAnsi="Arial" w:cs="Arial"/>
          <w:b/>
          <w:bCs/>
        </w:rPr>
        <w:t>Officer</w:t>
      </w:r>
      <w:r w:rsidRPr="00D82054">
        <w:rPr>
          <w:rFonts w:ascii="Arial" w:hAnsi="Arial" w:cs="Arial"/>
          <w:bCs/>
        </w:rPr>
        <w:tab/>
      </w:r>
    </w:p>
    <w:p w14:paraId="61F7BCED" w14:textId="77777777" w:rsidR="00D82054" w:rsidRDefault="00D82054" w:rsidP="00D82054">
      <w:pPr>
        <w:keepNext/>
        <w:tabs>
          <w:tab w:val="left" w:pos="1985"/>
        </w:tabs>
        <w:rPr>
          <w:rFonts w:ascii="Arial" w:hAnsi="Arial" w:cs="Arial"/>
          <w:b/>
          <w:bCs/>
        </w:rPr>
      </w:pPr>
    </w:p>
    <w:p w14:paraId="7817AF54" w14:textId="23FDA62A" w:rsidR="00B115C4" w:rsidRPr="00D82054" w:rsidRDefault="00B115C4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 w:rsidRPr="00D82054">
        <w:rPr>
          <w:rFonts w:ascii="Arial" w:hAnsi="Arial" w:cs="Arial"/>
          <w:b/>
          <w:bCs/>
        </w:rPr>
        <w:t>Service:</w:t>
      </w:r>
      <w:r w:rsidRPr="00D82054">
        <w:rPr>
          <w:rFonts w:ascii="Arial" w:hAnsi="Arial" w:cs="Arial"/>
          <w:b/>
          <w:bCs/>
        </w:rPr>
        <w:tab/>
      </w:r>
      <w:r w:rsidR="004D700D">
        <w:rPr>
          <w:rFonts w:ascii="Arial" w:hAnsi="Arial" w:cs="Arial"/>
          <w:bCs/>
        </w:rPr>
        <w:t>Sustainability</w:t>
      </w:r>
    </w:p>
    <w:p w14:paraId="3FAE248C" w14:textId="77777777" w:rsidR="00D82054" w:rsidRPr="00D82054" w:rsidRDefault="00D82054" w:rsidP="00D82054">
      <w:pPr>
        <w:keepNext/>
        <w:tabs>
          <w:tab w:val="left" w:pos="1985"/>
        </w:tabs>
        <w:rPr>
          <w:rFonts w:ascii="Arial" w:hAnsi="Arial" w:cs="Arial"/>
          <w:b/>
          <w:bCs/>
        </w:rPr>
      </w:pPr>
    </w:p>
    <w:p w14:paraId="16BCF297" w14:textId="2EC8557F" w:rsidR="00B115C4" w:rsidRPr="00D82054" w:rsidRDefault="00B115C4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 w:rsidRPr="00D82054">
        <w:rPr>
          <w:rFonts w:ascii="Arial" w:hAnsi="Arial" w:cs="Arial"/>
          <w:b/>
          <w:bCs/>
        </w:rPr>
        <w:t>Grade:</w:t>
      </w:r>
      <w:r w:rsidRPr="00D82054">
        <w:rPr>
          <w:rFonts w:ascii="Arial" w:hAnsi="Arial" w:cs="Arial"/>
          <w:b/>
          <w:bCs/>
        </w:rPr>
        <w:tab/>
      </w:r>
      <w:r w:rsidR="00147072">
        <w:rPr>
          <w:rFonts w:ascii="Arial" w:hAnsi="Arial" w:cs="Arial"/>
          <w:b/>
          <w:bCs/>
        </w:rPr>
        <w:t>5</w:t>
      </w:r>
    </w:p>
    <w:p w14:paraId="69B35BA0" w14:textId="77777777" w:rsidR="00B115C4" w:rsidRPr="00D82054" w:rsidRDefault="00B115C4" w:rsidP="00D82054">
      <w:pPr>
        <w:keepNext/>
        <w:tabs>
          <w:tab w:val="left" w:pos="1985"/>
        </w:tabs>
        <w:rPr>
          <w:rFonts w:ascii="Arial" w:hAnsi="Arial" w:cs="Arial"/>
          <w:b/>
          <w:bCs/>
        </w:rPr>
      </w:pPr>
    </w:p>
    <w:p w14:paraId="20CF01FD" w14:textId="113690D5" w:rsidR="00B115C4" w:rsidRDefault="00D82054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Responsible To:</w:t>
      </w:r>
      <w:r>
        <w:rPr>
          <w:rFonts w:ascii="Arial" w:hAnsi="Arial" w:cs="Arial"/>
          <w:b/>
          <w:bCs/>
        </w:rPr>
        <w:tab/>
      </w:r>
      <w:r w:rsidR="00A452A4">
        <w:rPr>
          <w:rFonts w:ascii="Arial" w:hAnsi="Arial" w:cs="Arial"/>
          <w:bCs/>
        </w:rPr>
        <w:t>Sustainability Manager</w:t>
      </w:r>
    </w:p>
    <w:p w14:paraId="600056A1" w14:textId="77777777" w:rsidR="00F46709" w:rsidRDefault="00F46709" w:rsidP="00D82054">
      <w:pPr>
        <w:keepNext/>
        <w:tabs>
          <w:tab w:val="left" w:pos="1985"/>
        </w:tabs>
        <w:rPr>
          <w:rFonts w:ascii="Arial" w:hAnsi="Arial" w:cs="Arial"/>
          <w:bCs/>
        </w:rPr>
      </w:pPr>
    </w:p>
    <w:p w14:paraId="41E977B5" w14:textId="3D6B21FC" w:rsidR="00F46709" w:rsidRPr="00160FCD" w:rsidRDefault="00F46709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 w:rsidRPr="00F46709">
        <w:rPr>
          <w:rFonts w:ascii="Arial" w:hAnsi="Arial" w:cs="Arial"/>
          <w:b/>
        </w:rPr>
        <w:t xml:space="preserve">Based </w:t>
      </w:r>
      <w:r>
        <w:rPr>
          <w:rFonts w:ascii="Arial" w:hAnsi="Arial" w:cs="Arial"/>
          <w:b/>
        </w:rPr>
        <w:t>A</w:t>
      </w:r>
      <w:r w:rsidRPr="00F46709">
        <w:rPr>
          <w:rFonts w:ascii="Arial" w:hAnsi="Arial" w:cs="Arial"/>
          <w:b/>
        </w:rPr>
        <w:t>t: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Town Hall, Royal Tunbridge Wells, Kent, TN1 1RS</w:t>
      </w:r>
    </w:p>
    <w:p w14:paraId="408BF9DD" w14:textId="77777777" w:rsidR="00B115C4" w:rsidRPr="00D82054" w:rsidRDefault="00B115C4" w:rsidP="00B115C4">
      <w:pPr>
        <w:keepNext/>
        <w:rPr>
          <w:rFonts w:ascii="Arial" w:hAnsi="Arial" w:cs="Arial"/>
          <w:b/>
          <w:bCs/>
        </w:rPr>
      </w:pPr>
    </w:p>
    <w:p w14:paraId="54FD5A8A" w14:textId="77777777" w:rsidR="00B115C4" w:rsidRPr="00D82054" w:rsidRDefault="00B115C4" w:rsidP="00B115C4">
      <w:pPr>
        <w:keepNext/>
        <w:pBdr>
          <w:top w:val="single" w:sz="4" w:space="1" w:color="auto"/>
        </w:pBdr>
        <w:rPr>
          <w:rFonts w:ascii="Arial" w:hAnsi="Arial" w:cs="Arial"/>
        </w:rPr>
      </w:pPr>
    </w:p>
    <w:p w14:paraId="1AE2D66D" w14:textId="77777777" w:rsidR="00C42410" w:rsidRDefault="00B115C4" w:rsidP="00C42410">
      <w:pPr>
        <w:tabs>
          <w:tab w:val="left" w:pos="2127"/>
        </w:tabs>
        <w:ind w:left="2127" w:hanging="2127"/>
        <w:rPr>
          <w:rFonts w:ascii="Arial" w:hAnsi="Arial" w:cs="Arial"/>
          <w:b/>
          <w:bCs/>
        </w:rPr>
      </w:pPr>
      <w:r w:rsidRPr="00D82054">
        <w:rPr>
          <w:rFonts w:ascii="Arial" w:hAnsi="Arial" w:cs="Arial"/>
          <w:b/>
          <w:bCs/>
        </w:rPr>
        <w:t>Job Summary:</w:t>
      </w:r>
      <w:r w:rsidR="00D82054">
        <w:rPr>
          <w:rFonts w:ascii="Arial" w:hAnsi="Arial" w:cs="Arial"/>
          <w:b/>
          <w:bCs/>
        </w:rPr>
        <w:tab/>
      </w:r>
    </w:p>
    <w:p w14:paraId="02AAEE56" w14:textId="77777777" w:rsidR="00C42410" w:rsidRDefault="00C42410" w:rsidP="00C42410">
      <w:pPr>
        <w:tabs>
          <w:tab w:val="left" w:pos="2127"/>
        </w:tabs>
        <w:ind w:left="2127" w:hanging="2127"/>
        <w:rPr>
          <w:rFonts w:ascii="Arial" w:hAnsi="Arial" w:cs="Arial"/>
          <w:b/>
          <w:bCs/>
        </w:rPr>
      </w:pPr>
    </w:p>
    <w:p w14:paraId="4FB02E56" w14:textId="74D58AAE" w:rsidR="0085718E" w:rsidRDefault="0085718E" w:rsidP="0085718E">
      <w:pPr>
        <w:tabs>
          <w:tab w:val="left" w:pos="2127"/>
        </w:tabs>
        <w:jc w:val="both"/>
        <w:rPr>
          <w:rFonts w:ascii="Arial" w:hAnsi="Arial" w:cs="Arial"/>
        </w:rPr>
      </w:pPr>
      <w:r w:rsidRPr="0085718E">
        <w:rPr>
          <w:rFonts w:ascii="Arial" w:hAnsi="Arial" w:cs="Arial"/>
        </w:rPr>
        <w:t>The Climate Change and Energy Efficiency Officer post will play an important role in advancing the Council’s climate change objectives. This will be a shared role, working across the Sustainability and Private Sector Housing teams</w:t>
      </w:r>
      <w:r>
        <w:rPr>
          <w:rFonts w:ascii="Arial" w:hAnsi="Arial" w:cs="Arial"/>
        </w:rPr>
        <w:t>.</w:t>
      </w:r>
      <w:r w:rsidR="00CB02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post holder</w:t>
      </w:r>
      <w:r w:rsidRPr="0085718E">
        <w:rPr>
          <w:rFonts w:ascii="Arial" w:hAnsi="Arial" w:cs="Arial"/>
        </w:rPr>
        <w:t xml:space="preserve"> will lead and support a wide range of projects, largely focusing on reducing carbon emissions and improving the energy efficiency across the domestic property sector in the Borough.</w:t>
      </w:r>
      <w:r>
        <w:rPr>
          <w:rFonts w:ascii="Arial" w:hAnsi="Arial" w:cs="Arial"/>
        </w:rPr>
        <w:t xml:space="preserve"> </w:t>
      </w:r>
    </w:p>
    <w:p w14:paraId="6F26C1DC" w14:textId="77777777" w:rsidR="00CB0203" w:rsidRDefault="00CB0203" w:rsidP="0085718E">
      <w:pPr>
        <w:tabs>
          <w:tab w:val="left" w:pos="2127"/>
        </w:tabs>
        <w:jc w:val="both"/>
        <w:rPr>
          <w:rFonts w:ascii="Arial" w:hAnsi="Arial" w:cs="Arial"/>
        </w:rPr>
      </w:pPr>
    </w:p>
    <w:p w14:paraId="773E6113" w14:textId="77777777" w:rsidR="00CB0203" w:rsidRDefault="00CB0203" w:rsidP="00CB0203">
      <w:pPr>
        <w:tabs>
          <w:tab w:val="left" w:pos="2127"/>
        </w:tabs>
        <w:jc w:val="both"/>
        <w:rPr>
          <w:rFonts w:ascii="Arial" w:hAnsi="Arial" w:cs="Arial"/>
        </w:rPr>
      </w:pPr>
      <w:r w:rsidRPr="000E5DB0">
        <w:rPr>
          <w:rFonts w:ascii="Arial" w:hAnsi="Arial" w:cs="Arial"/>
        </w:rPr>
        <w:t>The postholder will be required to work strategically across the council and borough, building and maintaining strong partnerships with residents, community groups, schools, businesses and anchor institutions across the borough.</w:t>
      </w:r>
    </w:p>
    <w:p w14:paraId="34EE728F" w14:textId="77777777" w:rsidR="0085718E" w:rsidRPr="0085718E" w:rsidRDefault="0085718E" w:rsidP="0085718E">
      <w:pPr>
        <w:tabs>
          <w:tab w:val="left" w:pos="2127"/>
        </w:tabs>
        <w:jc w:val="both"/>
        <w:rPr>
          <w:rFonts w:ascii="Arial" w:hAnsi="Arial" w:cs="Arial"/>
        </w:rPr>
      </w:pPr>
    </w:p>
    <w:p w14:paraId="45318E13" w14:textId="64BBF4F0" w:rsidR="0085718E" w:rsidRDefault="0085718E" w:rsidP="0085718E">
      <w:pPr>
        <w:tabs>
          <w:tab w:val="left" w:pos="2127"/>
        </w:tabs>
        <w:jc w:val="both"/>
        <w:rPr>
          <w:rFonts w:ascii="Arial" w:hAnsi="Arial" w:cs="Arial"/>
        </w:rPr>
      </w:pPr>
      <w:r w:rsidRPr="0085718E">
        <w:rPr>
          <w:rFonts w:ascii="Arial" w:hAnsi="Arial" w:cs="Arial"/>
        </w:rPr>
        <w:t xml:space="preserve">This is a new full-time post to support the delivery of </w:t>
      </w:r>
      <w:r w:rsidR="00CB0203">
        <w:rPr>
          <w:rFonts w:ascii="Arial" w:hAnsi="Arial" w:cs="Arial"/>
        </w:rPr>
        <w:t>support the delivery of the Council’s</w:t>
      </w:r>
      <w:r w:rsidR="00CB0203" w:rsidRPr="0078370F">
        <w:rPr>
          <w:rFonts w:ascii="Arial" w:hAnsi="Arial" w:cs="Arial"/>
        </w:rPr>
        <w:t xml:space="preserve"> </w:t>
      </w:r>
      <w:r w:rsidR="00CB0203" w:rsidRPr="000E5DB0">
        <w:rPr>
          <w:rFonts w:ascii="Arial" w:hAnsi="Arial" w:cs="Arial"/>
        </w:rPr>
        <w:t xml:space="preserve">Borough Climate Change Strategy </w:t>
      </w:r>
      <w:r w:rsidR="00CB0203">
        <w:rPr>
          <w:rFonts w:ascii="Arial" w:hAnsi="Arial" w:cs="Arial"/>
        </w:rPr>
        <w:t>and Corporate Net Zero Strategy</w:t>
      </w:r>
      <w:r w:rsidR="00CB0203" w:rsidRPr="000E5DB0">
        <w:rPr>
          <w:rFonts w:ascii="Arial" w:hAnsi="Arial" w:cs="Arial"/>
        </w:rPr>
        <w:t>.</w:t>
      </w:r>
      <w:r w:rsidR="00CB0203">
        <w:rPr>
          <w:rFonts w:ascii="Arial" w:hAnsi="Arial" w:cs="Arial"/>
        </w:rPr>
        <w:t xml:space="preserve"> </w:t>
      </w:r>
      <w:r w:rsidRPr="0085718E">
        <w:rPr>
          <w:rFonts w:ascii="Arial" w:hAnsi="Arial" w:cs="Arial"/>
        </w:rPr>
        <w:t>This post will be managed by the Sustainability Manager and will sit within the Sustainability Team.</w:t>
      </w:r>
    </w:p>
    <w:p w14:paraId="71230B54" w14:textId="77777777" w:rsidR="000E5DB0" w:rsidRDefault="000E5DB0" w:rsidP="000E5DB0">
      <w:pPr>
        <w:tabs>
          <w:tab w:val="left" w:pos="2127"/>
        </w:tabs>
        <w:rPr>
          <w:rFonts w:ascii="Arial" w:hAnsi="Arial" w:cs="Arial"/>
        </w:rPr>
      </w:pPr>
    </w:p>
    <w:p w14:paraId="282F6775" w14:textId="77777777" w:rsidR="000E5DB0" w:rsidRPr="002A249B" w:rsidRDefault="000E5DB0" w:rsidP="000E5DB0">
      <w:pPr>
        <w:tabs>
          <w:tab w:val="left" w:pos="2127"/>
        </w:tabs>
        <w:rPr>
          <w:rFonts w:ascii="Arial" w:hAnsi="Arial" w:cs="Arial"/>
          <w:bCs/>
        </w:rPr>
      </w:pPr>
    </w:p>
    <w:p w14:paraId="3BD3AAF1" w14:textId="77777777" w:rsidR="00B115C4" w:rsidRPr="002A249B" w:rsidRDefault="00B115C4" w:rsidP="00B115C4">
      <w:pPr>
        <w:keepNext/>
        <w:rPr>
          <w:rFonts w:ascii="Arial" w:hAnsi="Arial" w:cs="Arial"/>
          <w:b/>
          <w:bCs/>
        </w:rPr>
      </w:pPr>
      <w:r w:rsidRPr="002A249B">
        <w:rPr>
          <w:rFonts w:ascii="Arial" w:hAnsi="Arial" w:cs="Arial"/>
          <w:b/>
          <w:bCs/>
        </w:rPr>
        <w:t>Main Activities:</w:t>
      </w:r>
    </w:p>
    <w:p w14:paraId="4251A250" w14:textId="77777777" w:rsidR="00B115C4" w:rsidRPr="002A249B" w:rsidRDefault="00B115C4" w:rsidP="00B115C4">
      <w:pPr>
        <w:keepNext/>
        <w:rPr>
          <w:rFonts w:ascii="Arial" w:hAnsi="Arial" w:cs="Arial"/>
          <w:b/>
          <w:bCs/>
        </w:rPr>
      </w:pPr>
    </w:p>
    <w:p w14:paraId="3618F335" w14:textId="64B53C82" w:rsidR="00204139" w:rsidRPr="00204139" w:rsidRDefault="00204139" w:rsidP="00441B77">
      <w:pPr>
        <w:spacing w:after="120"/>
        <w:rPr>
          <w:rFonts w:ascii="Arial" w:hAnsi="Arial" w:cs="Arial"/>
          <w:b/>
          <w:bCs/>
        </w:rPr>
      </w:pPr>
      <w:r w:rsidRPr="00204139">
        <w:rPr>
          <w:rFonts w:ascii="Arial" w:hAnsi="Arial" w:cs="Arial"/>
          <w:b/>
          <w:bCs/>
        </w:rPr>
        <w:t>Sustainability:</w:t>
      </w:r>
    </w:p>
    <w:p w14:paraId="0E7489ED" w14:textId="34BABFE6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Support the development and delivery of energy efficiency and retrofit advice and support projects for the Council.</w:t>
      </w:r>
    </w:p>
    <w:p w14:paraId="27DC0EC8" w14:textId="299B4964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Work alongside the Climate Change Officer to deliver decarbonisation grant schemes.</w:t>
      </w:r>
    </w:p>
    <w:p w14:paraId="402FE5A6" w14:textId="13BAA8E0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Deliver the Tunbridge Wells Switch Together Scheme, including Solar Together and any potential heat pump schemes.</w:t>
      </w:r>
    </w:p>
    <w:p w14:paraId="0889E6BA" w14:textId="791CC251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Deliver Borough Climate Change Strategy projects for the Council.</w:t>
      </w:r>
    </w:p>
    <w:p w14:paraId="2D6523BF" w14:textId="7469A6D4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Lead on the delivery of energy efficiency elements of the Borough Climate Change Strategy.</w:t>
      </w:r>
    </w:p>
    <w:p w14:paraId="1C191661" w14:textId="6944571C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Working alongside the Sustainability Team, develop and deliver a Borough Climate Adaptation Strategy.</w:t>
      </w:r>
    </w:p>
    <w:p w14:paraId="097C3F5D" w14:textId="1F09C964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Identify and support with securing funding for decarbonisation projects.</w:t>
      </w:r>
    </w:p>
    <w:p w14:paraId="7E978821" w14:textId="3A7EB921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Provide technical advice to the Council and partners on building decarbonisation, energy efficiency improvements, and renewable energy solutions.</w:t>
      </w:r>
    </w:p>
    <w:p w14:paraId="164E66C8" w14:textId="726CE4C5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Assist with the provision of advice and written guidance on climate change and environmental projects for internal and external stakeholders.</w:t>
      </w:r>
    </w:p>
    <w:p w14:paraId="58C9C5D2" w14:textId="0B825968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lastRenderedPageBreak/>
        <w:t>Provide of in-depth policy analysis and advice on energy efficiency, carbon reduction, and environmental legislation to a range of audiences (including councillors, senior managers, officers, and external stakeholders).</w:t>
      </w:r>
    </w:p>
    <w:p w14:paraId="4FB6E7D9" w14:textId="0B6A63C6" w:rsidR="00204139" w:rsidRPr="00204139" w:rsidRDefault="00204139" w:rsidP="00441B77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204139">
        <w:rPr>
          <w:rFonts w:ascii="Arial" w:hAnsi="Arial" w:cs="Arial"/>
        </w:rPr>
        <w:t>Advise, where required, on the inclusion of sustainability, climate, and carbon reduction specifications within Council contracts and tender documentation.</w:t>
      </w:r>
    </w:p>
    <w:p w14:paraId="048C65FD" w14:textId="77777777" w:rsidR="003F2E75" w:rsidRDefault="00204139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204139">
        <w:rPr>
          <w:rFonts w:ascii="Arial" w:hAnsi="Arial" w:cs="Arial"/>
        </w:rPr>
        <w:t>Lead on the Council’s climate change impact assessment process for projects and suppliers, including reviewing reports from other service areas and providing sustainability input.</w:t>
      </w:r>
    </w:p>
    <w:p w14:paraId="5B4C9D28" w14:textId="14F5A312" w:rsidR="003F2E75" w:rsidRPr="003F2E75" w:rsidRDefault="003F2E75" w:rsidP="00441B77">
      <w:pPr>
        <w:spacing w:after="120"/>
        <w:rPr>
          <w:rFonts w:ascii="Arial" w:hAnsi="Arial" w:cs="Arial"/>
          <w:b/>
          <w:bCs/>
        </w:rPr>
      </w:pPr>
      <w:r w:rsidRPr="003F2E75">
        <w:rPr>
          <w:rFonts w:ascii="Arial" w:hAnsi="Arial" w:cs="Arial"/>
          <w:b/>
          <w:bCs/>
        </w:rPr>
        <w:t>Private Sector Housing:</w:t>
      </w:r>
    </w:p>
    <w:p w14:paraId="389428D2" w14:textId="11749B74" w:rsidR="003F2E75" w:rsidRPr="003F2E75" w:rsidRDefault="003F2E75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3F2E75">
        <w:rPr>
          <w:rFonts w:ascii="Arial" w:hAnsi="Arial" w:cs="Arial"/>
        </w:rPr>
        <w:t>Lead on the delivery and promote the TWBC Energy Efficiency Assistance Scheme.</w:t>
      </w:r>
    </w:p>
    <w:p w14:paraId="16013209" w14:textId="43AEF582" w:rsidR="003F2E75" w:rsidRPr="003F2E75" w:rsidRDefault="003F2E75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3F2E75">
        <w:rPr>
          <w:rFonts w:ascii="Arial" w:hAnsi="Arial" w:cs="Arial"/>
        </w:rPr>
        <w:t>With the private sector housing team, monitor and identify non-compliant properties under the MEES regulations.</w:t>
      </w:r>
    </w:p>
    <w:p w14:paraId="46E94FEC" w14:textId="6058FB9C" w:rsidR="003F2E75" w:rsidRPr="003F2E75" w:rsidRDefault="003F2E75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3F2E75">
        <w:rPr>
          <w:rFonts w:ascii="Arial" w:hAnsi="Arial" w:cs="Arial"/>
        </w:rPr>
        <w:t>With the private sector housing team, deliver grant-funded projects where required (e.g. Warm Homes Local Grant) and assist in securing funding for future decarbonisation programmes.</w:t>
      </w:r>
    </w:p>
    <w:p w14:paraId="7FABE39A" w14:textId="4184D156" w:rsidR="003F2E75" w:rsidRPr="003F2E75" w:rsidRDefault="003F2E75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3F2E75">
        <w:rPr>
          <w:rFonts w:ascii="Arial" w:hAnsi="Arial" w:cs="Arial"/>
        </w:rPr>
        <w:t>Support accessing funding for energy efficiency works from government and other bodies, including assisting with Council funding bids (individually or in partnership).</w:t>
      </w:r>
    </w:p>
    <w:p w14:paraId="794A2090" w14:textId="77777777" w:rsidR="000B25A7" w:rsidRPr="000B25A7" w:rsidRDefault="003F2E75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3F2E75">
        <w:rPr>
          <w:rFonts w:ascii="Arial" w:hAnsi="Arial" w:cs="Arial"/>
        </w:rPr>
        <w:t>Promote energy efficiency measures to residents and landlords across the district.</w:t>
      </w:r>
      <w:r w:rsidR="000B25A7" w:rsidRPr="000B25A7">
        <w:rPr>
          <w:rFonts w:ascii="Arial" w:hAnsi="Arial" w:cs="Arial"/>
          <w:sz w:val="22"/>
          <w:szCs w:val="22"/>
        </w:rPr>
        <w:t xml:space="preserve"> </w:t>
      </w:r>
    </w:p>
    <w:p w14:paraId="59833476" w14:textId="6F144FE6" w:rsidR="000B25A7" w:rsidRPr="000B25A7" w:rsidRDefault="000B25A7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0B25A7">
        <w:rPr>
          <w:rFonts w:ascii="Arial" w:hAnsi="Arial" w:cs="Arial"/>
        </w:rPr>
        <w:t>Lead on organising energy efficiency-focused events in collaboration with the Sustainability and Communications teams.</w:t>
      </w:r>
    </w:p>
    <w:p w14:paraId="6DF9F802" w14:textId="468746F0" w:rsidR="000B25A7" w:rsidRPr="00441B77" w:rsidRDefault="000B25A7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0B25A7">
        <w:rPr>
          <w:rFonts w:ascii="Arial" w:hAnsi="Arial" w:cs="Arial"/>
        </w:rPr>
        <w:t>Lead on the marketing and promotion of government energy efficiency schemes.</w:t>
      </w:r>
    </w:p>
    <w:p w14:paraId="25B18FCF" w14:textId="613B0B90" w:rsidR="000B25A7" w:rsidRPr="00441B77" w:rsidRDefault="000B25A7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0B25A7">
        <w:rPr>
          <w:rFonts w:ascii="Arial" w:hAnsi="Arial" w:cs="Arial"/>
        </w:rPr>
        <w:t>Provide tailored energy efficiency advice to residents.</w:t>
      </w:r>
    </w:p>
    <w:p w14:paraId="41E8E976" w14:textId="0F50A827" w:rsidR="000B25A7" w:rsidRPr="00441B77" w:rsidRDefault="000B25A7" w:rsidP="00441B77">
      <w:pPr>
        <w:spacing w:after="120"/>
        <w:rPr>
          <w:rFonts w:ascii="Arial" w:hAnsi="Arial" w:cs="Arial"/>
          <w:b/>
          <w:bCs/>
        </w:rPr>
      </w:pPr>
      <w:r w:rsidRPr="00441B77">
        <w:rPr>
          <w:rFonts w:ascii="Arial" w:hAnsi="Arial" w:cs="Arial"/>
          <w:b/>
          <w:bCs/>
        </w:rPr>
        <w:t>General</w:t>
      </w:r>
      <w:r w:rsidR="00441B77">
        <w:rPr>
          <w:rFonts w:ascii="Arial" w:hAnsi="Arial" w:cs="Arial"/>
          <w:b/>
          <w:bCs/>
        </w:rPr>
        <w:t>:</w:t>
      </w:r>
    </w:p>
    <w:p w14:paraId="65E47AD4" w14:textId="1CFC7205" w:rsidR="000B25A7" w:rsidRPr="00441B77" w:rsidRDefault="000B25A7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B25A7">
        <w:rPr>
          <w:rFonts w:ascii="Arial" w:hAnsi="Arial" w:cs="Arial"/>
        </w:rPr>
        <w:t>epresent the council on Kent wide working groups and forums.</w:t>
      </w:r>
    </w:p>
    <w:p w14:paraId="52FE5D2C" w14:textId="3C7E82D6" w:rsidR="000B25A7" w:rsidRPr="00441B77" w:rsidRDefault="000B25A7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0B25A7">
        <w:rPr>
          <w:rFonts w:ascii="Arial" w:hAnsi="Arial" w:cs="Arial"/>
        </w:rPr>
        <w:t>Provide admin and research capacity for projects as required.</w:t>
      </w:r>
    </w:p>
    <w:p w14:paraId="7C5E4C39" w14:textId="0949102E" w:rsidR="000B25A7" w:rsidRPr="000B25A7" w:rsidRDefault="000B25A7" w:rsidP="00441B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0B25A7">
        <w:rPr>
          <w:rFonts w:ascii="Arial" w:hAnsi="Arial" w:cs="Arial"/>
        </w:rPr>
        <w:t>Co-ordinate responses to Government and other consultations.</w:t>
      </w:r>
    </w:p>
    <w:p w14:paraId="57CDE711" w14:textId="489F16A6" w:rsidR="000E5DB0" w:rsidRDefault="000E5DB0" w:rsidP="000B25A7">
      <w:pPr>
        <w:pStyle w:val="ListParagraph"/>
        <w:ind w:left="360"/>
        <w:rPr>
          <w:rFonts w:ascii="Arial" w:hAnsi="Arial" w:cs="Arial"/>
        </w:rPr>
      </w:pPr>
    </w:p>
    <w:p w14:paraId="6C261976" w14:textId="77777777" w:rsidR="00B115C4" w:rsidRPr="002A249B" w:rsidRDefault="00B115C4" w:rsidP="00B115C4">
      <w:pPr>
        <w:keepNext/>
        <w:rPr>
          <w:rFonts w:ascii="Arial" w:hAnsi="Arial" w:cs="Arial"/>
        </w:rPr>
      </w:pPr>
    </w:p>
    <w:p w14:paraId="312F5F16" w14:textId="7DB07FAC" w:rsidR="00855FD0" w:rsidRPr="002A249B" w:rsidRDefault="00B115C4" w:rsidP="00687B35">
      <w:pPr>
        <w:ind w:left="426" w:hanging="426"/>
        <w:rPr>
          <w:rFonts w:ascii="Arial" w:hAnsi="Arial" w:cs="Arial"/>
        </w:rPr>
      </w:pPr>
      <w:r w:rsidRPr="002A249B">
        <w:rPr>
          <w:rFonts w:ascii="Arial" w:hAnsi="Arial" w:cs="Arial"/>
          <w:b/>
        </w:rPr>
        <w:t>NB</w:t>
      </w:r>
      <w:r w:rsidRPr="002A249B">
        <w:rPr>
          <w:rFonts w:ascii="Arial" w:hAnsi="Arial" w:cs="Arial"/>
          <w:b/>
        </w:rPr>
        <w:tab/>
        <w:t xml:space="preserve">This job description is not intended to be an exhaustive list of all the tasks and responsibilities of the post.  In line with Service needs, some tasks may need to </w:t>
      </w:r>
      <w:r w:rsidR="00543B80" w:rsidRPr="002A249B">
        <w:rPr>
          <w:rFonts w:ascii="Arial" w:hAnsi="Arial" w:cs="Arial"/>
          <w:b/>
        </w:rPr>
        <w:t>change,</w:t>
      </w:r>
      <w:r w:rsidRPr="002A249B">
        <w:rPr>
          <w:rFonts w:ascii="Arial" w:hAnsi="Arial" w:cs="Arial"/>
          <w:b/>
        </w:rPr>
        <w:t xml:space="preserve"> and any changes will be made in consultation with the postholder.</w:t>
      </w:r>
    </w:p>
    <w:sectPr w:rsidR="00855FD0" w:rsidRPr="002A249B" w:rsidSect="00D8205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25E"/>
    <w:multiLevelType w:val="hybridMultilevel"/>
    <w:tmpl w:val="12209EEC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" w15:restartNumberingAfterBreak="0">
    <w:nsid w:val="0E382415"/>
    <w:multiLevelType w:val="hybridMultilevel"/>
    <w:tmpl w:val="002E3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46343"/>
    <w:multiLevelType w:val="hybridMultilevel"/>
    <w:tmpl w:val="9D1A9E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A621A"/>
    <w:multiLevelType w:val="hybridMultilevel"/>
    <w:tmpl w:val="618467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D61D0"/>
    <w:multiLevelType w:val="hybridMultilevel"/>
    <w:tmpl w:val="79CC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62F7F"/>
    <w:multiLevelType w:val="hybridMultilevel"/>
    <w:tmpl w:val="C6507890"/>
    <w:lvl w:ilvl="0" w:tplc="D1BA4A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B18C9"/>
    <w:multiLevelType w:val="singleLevel"/>
    <w:tmpl w:val="F9745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1F32BA6"/>
    <w:multiLevelType w:val="hybridMultilevel"/>
    <w:tmpl w:val="5B16D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E6DF3"/>
    <w:multiLevelType w:val="hybridMultilevel"/>
    <w:tmpl w:val="AC34C110"/>
    <w:lvl w:ilvl="0" w:tplc="377E62E6">
      <w:start w:val="1"/>
      <w:numFmt w:val="decimal"/>
      <w:lvlText w:val="%1)"/>
      <w:lvlJc w:val="center"/>
      <w:pPr>
        <w:tabs>
          <w:tab w:val="num" w:pos="1023"/>
        </w:tabs>
        <w:ind w:left="1023" w:hanging="663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9654F"/>
    <w:multiLevelType w:val="hybridMultilevel"/>
    <w:tmpl w:val="EE783052"/>
    <w:lvl w:ilvl="0" w:tplc="0809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0" w15:restartNumberingAfterBreak="0">
    <w:nsid w:val="669954E7"/>
    <w:multiLevelType w:val="hybridMultilevel"/>
    <w:tmpl w:val="D0A012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A560C2"/>
    <w:multiLevelType w:val="hybridMultilevel"/>
    <w:tmpl w:val="E3B64A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9D3BAA"/>
    <w:multiLevelType w:val="hybridMultilevel"/>
    <w:tmpl w:val="B86A5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75921">
    <w:abstractNumId w:val="8"/>
  </w:num>
  <w:num w:numId="2" w16cid:durableId="1999916920">
    <w:abstractNumId w:val="12"/>
  </w:num>
  <w:num w:numId="3" w16cid:durableId="1658221282">
    <w:abstractNumId w:val="4"/>
  </w:num>
  <w:num w:numId="4" w16cid:durableId="278875521">
    <w:abstractNumId w:val="2"/>
  </w:num>
  <w:num w:numId="5" w16cid:durableId="9532818">
    <w:abstractNumId w:val="10"/>
  </w:num>
  <w:num w:numId="6" w16cid:durableId="101522967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470906432">
    <w:abstractNumId w:val="5"/>
  </w:num>
  <w:num w:numId="8" w16cid:durableId="183982097">
    <w:abstractNumId w:val="11"/>
  </w:num>
  <w:num w:numId="9" w16cid:durableId="220404423">
    <w:abstractNumId w:val="0"/>
  </w:num>
  <w:num w:numId="10" w16cid:durableId="1203445390">
    <w:abstractNumId w:val="9"/>
  </w:num>
  <w:num w:numId="11" w16cid:durableId="1652052533">
    <w:abstractNumId w:val="1"/>
  </w:num>
  <w:num w:numId="12" w16cid:durableId="1187598806">
    <w:abstractNumId w:val="7"/>
  </w:num>
  <w:num w:numId="13" w16cid:durableId="19741724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C4"/>
    <w:rsid w:val="00001B97"/>
    <w:rsid w:val="00011739"/>
    <w:rsid w:val="0002495B"/>
    <w:rsid w:val="00037ED3"/>
    <w:rsid w:val="000462C8"/>
    <w:rsid w:val="00097561"/>
    <w:rsid w:val="000A51CE"/>
    <w:rsid w:val="000B25A7"/>
    <w:rsid w:val="000E011E"/>
    <w:rsid w:val="000E5DB0"/>
    <w:rsid w:val="000F6257"/>
    <w:rsid w:val="00101029"/>
    <w:rsid w:val="00101C5C"/>
    <w:rsid w:val="00105A59"/>
    <w:rsid w:val="00147072"/>
    <w:rsid w:val="00160FCD"/>
    <w:rsid w:val="001B1432"/>
    <w:rsid w:val="001D23C5"/>
    <w:rsid w:val="001D74A9"/>
    <w:rsid w:val="00204139"/>
    <w:rsid w:val="0022041F"/>
    <w:rsid w:val="0022709B"/>
    <w:rsid w:val="0024137E"/>
    <w:rsid w:val="002414BA"/>
    <w:rsid w:val="002447F8"/>
    <w:rsid w:val="00281FC9"/>
    <w:rsid w:val="002856CE"/>
    <w:rsid w:val="002A249B"/>
    <w:rsid w:val="002A55CE"/>
    <w:rsid w:val="00335D49"/>
    <w:rsid w:val="003522B8"/>
    <w:rsid w:val="00365E34"/>
    <w:rsid w:val="003742DA"/>
    <w:rsid w:val="00394070"/>
    <w:rsid w:val="003952F0"/>
    <w:rsid w:val="003A61D9"/>
    <w:rsid w:val="003F2E75"/>
    <w:rsid w:val="004040DA"/>
    <w:rsid w:val="0042422D"/>
    <w:rsid w:val="0042747C"/>
    <w:rsid w:val="004311A6"/>
    <w:rsid w:val="00441B77"/>
    <w:rsid w:val="004B7EAE"/>
    <w:rsid w:val="004D700D"/>
    <w:rsid w:val="004F0836"/>
    <w:rsid w:val="004F75E5"/>
    <w:rsid w:val="0050282B"/>
    <w:rsid w:val="00503ECE"/>
    <w:rsid w:val="00506963"/>
    <w:rsid w:val="005139A6"/>
    <w:rsid w:val="00532517"/>
    <w:rsid w:val="00543B80"/>
    <w:rsid w:val="00553D62"/>
    <w:rsid w:val="005B05EC"/>
    <w:rsid w:val="005B4609"/>
    <w:rsid w:val="005C11F5"/>
    <w:rsid w:val="006152DE"/>
    <w:rsid w:val="00642A06"/>
    <w:rsid w:val="0065506F"/>
    <w:rsid w:val="00661433"/>
    <w:rsid w:val="00687AEF"/>
    <w:rsid w:val="00687B35"/>
    <w:rsid w:val="00694BB2"/>
    <w:rsid w:val="006C0F45"/>
    <w:rsid w:val="006C6A31"/>
    <w:rsid w:val="006D50A7"/>
    <w:rsid w:val="006E39B4"/>
    <w:rsid w:val="006F1454"/>
    <w:rsid w:val="00740021"/>
    <w:rsid w:val="00767B12"/>
    <w:rsid w:val="00770A18"/>
    <w:rsid w:val="00775484"/>
    <w:rsid w:val="0078370F"/>
    <w:rsid w:val="00796E61"/>
    <w:rsid w:val="007B6A3B"/>
    <w:rsid w:val="007C1D41"/>
    <w:rsid w:val="007D7554"/>
    <w:rsid w:val="00823A97"/>
    <w:rsid w:val="00824BA4"/>
    <w:rsid w:val="00852F53"/>
    <w:rsid w:val="00855FD0"/>
    <w:rsid w:val="0085718E"/>
    <w:rsid w:val="0086143A"/>
    <w:rsid w:val="00877725"/>
    <w:rsid w:val="008C037B"/>
    <w:rsid w:val="008D139B"/>
    <w:rsid w:val="008D42F4"/>
    <w:rsid w:val="008F26AF"/>
    <w:rsid w:val="00926BD9"/>
    <w:rsid w:val="00930E80"/>
    <w:rsid w:val="0093383A"/>
    <w:rsid w:val="00945C3B"/>
    <w:rsid w:val="0095676A"/>
    <w:rsid w:val="00961823"/>
    <w:rsid w:val="009632E9"/>
    <w:rsid w:val="0096557B"/>
    <w:rsid w:val="00990A70"/>
    <w:rsid w:val="009B142B"/>
    <w:rsid w:val="00A07F75"/>
    <w:rsid w:val="00A22475"/>
    <w:rsid w:val="00A452A4"/>
    <w:rsid w:val="00A50ECA"/>
    <w:rsid w:val="00A542C3"/>
    <w:rsid w:val="00A91BBA"/>
    <w:rsid w:val="00AA185F"/>
    <w:rsid w:val="00AC4F22"/>
    <w:rsid w:val="00AF0531"/>
    <w:rsid w:val="00B115C4"/>
    <w:rsid w:val="00B20448"/>
    <w:rsid w:val="00B34FBE"/>
    <w:rsid w:val="00B4650A"/>
    <w:rsid w:val="00B547BB"/>
    <w:rsid w:val="00B714FF"/>
    <w:rsid w:val="00B84D47"/>
    <w:rsid w:val="00B8539C"/>
    <w:rsid w:val="00BD7445"/>
    <w:rsid w:val="00BF60B4"/>
    <w:rsid w:val="00C02C2E"/>
    <w:rsid w:val="00C15CBD"/>
    <w:rsid w:val="00C34755"/>
    <w:rsid w:val="00C42410"/>
    <w:rsid w:val="00CA4C7B"/>
    <w:rsid w:val="00CB0203"/>
    <w:rsid w:val="00CB0EA4"/>
    <w:rsid w:val="00CE48C8"/>
    <w:rsid w:val="00D13AB5"/>
    <w:rsid w:val="00D145AE"/>
    <w:rsid w:val="00D16192"/>
    <w:rsid w:val="00D3445C"/>
    <w:rsid w:val="00D400B6"/>
    <w:rsid w:val="00D82054"/>
    <w:rsid w:val="00DE3569"/>
    <w:rsid w:val="00E011C8"/>
    <w:rsid w:val="00E13436"/>
    <w:rsid w:val="00E15549"/>
    <w:rsid w:val="00E202F6"/>
    <w:rsid w:val="00E65100"/>
    <w:rsid w:val="00E818A9"/>
    <w:rsid w:val="00E85056"/>
    <w:rsid w:val="00EB369B"/>
    <w:rsid w:val="00EB3BC3"/>
    <w:rsid w:val="00F30A6F"/>
    <w:rsid w:val="00F443D5"/>
    <w:rsid w:val="00F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2C92"/>
  <w15:chartTrackingRefBased/>
  <w15:docId w15:val="{7A3CC8A2-252B-4E7B-90F4-B1E2ED7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C4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5C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5C4"/>
    <w:rPr>
      <w:rFonts w:eastAsia="Times New Roman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15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5C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BF60B4"/>
    <w:pPr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rsid w:val="00BF60B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7b896-0dae-4e9c-9baa-b097de9c276d" xsi:nil="true"/>
    <lcf76f155ced4ddcb4097134ff3c332f xmlns="a89161c3-9bd2-4def-954e-8c0377c0f5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867D2DA1EF249A58DB9C3C30230AB" ma:contentTypeVersion="14" ma:contentTypeDescription="Create a new document." ma:contentTypeScope="" ma:versionID="72273bf83e92b9ff99b257ebd1692928">
  <xsd:schema xmlns:xsd="http://www.w3.org/2001/XMLSchema" xmlns:xs="http://www.w3.org/2001/XMLSchema" xmlns:p="http://schemas.microsoft.com/office/2006/metadata/properties" xmlns:ns2="a89161c3-9bd2-4def-954e-8c0377c0f5cf" xmlns:ns3="4cb7b896-0dae-4e9c-9baa-b097de9c276d" targetNamespace="http://schemas.microsoft.com/office/2006/metadata/properties" ma:root="true" ma:fieldsID="7736426c2a76f8a82bb0710f48e0943f" ns2:_="" ns3:_="">
    <xsd:import namespace="a89161c3-9bd2-4def-954e-8c0377c0f5cf"/>
    <xsd:import namespace="4cb7b896-0dae-4e9c-9baa-b097de9c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61c3-9bd2-4def-954e-8c0377c0f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fa4ad4-e2eb-4f17-bf65-cff630e7e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b896-0dae-4e9c-9baa-b097de9c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d22d9d-9fd4-4cf2-9882-f46fb21e3af6}" ma:internalName="TaxCatchAll" ma:showField="CatchAllData" ma:web="4cb7b896-0dae-4e9c-9baa-b097de9c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575BE-A68F-4DB5-8F8D-0DC1ADB72FC9}">
  <ds:schemaRefs>
    <ds:schemaRef ds:uri="http://schemas.microsoft.com/office/2006/metadata/properties"/>
    <ds:schemaRef ds:uri="http://schemas.microsoft.com/office/infopath/2007/PartnerControls"/>
    <ds:schemaRef ds:uri="4cb7b896-0dae-4e9c-9baa-b097de9c276d"/>
    <ds:schemaRef ds:uri="a89161c3-9bd2-4def-954e-8c0377c0f5cf"/>
  </ds:schemaRefs>
</ds:datastoreItem>
</file>

<file path=customXml/itemProps2.xml><?xml version="1.0" encoding="utf-8"?>
<ds:datastoreItem xmlns:ds="http://schemas.openxmlformats.org/officeDocument/2006/customXml" ds:itemID="{92D87CC3-A164-4433-B210-C6FC5276D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61c3-9bd2-4def-954e-8c0377c0f5cf"/>
    <ds:schemaRef ds:uri="4cb7b896-0dae-4e9c-9baa-b097de9c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59A46-B5EB-4914-B2C1-1BBE1015EA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6E0DD4-22A8-430E-8BF4-06AA99A60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an2</dc:creator>
  <cp:keywords/>
  <cp:lastModifiedBy>Henry Saunders</cp:lastModifiedBy>
  <cp:revision>101</cp:revision>
  <cp:lastPrinted>2012-04-26T14:03:00Z</cp:lastPrinted>
  <dcterms:created xsi:type="dcterms:W3CDTF">2026-02-05T15:31:00Z</dcterms:created>
  <dcterms:modified xsi:type="dcterms:W3CDTF">2026-06-24T09:00:00Z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RECRUIT-1569300429-179</vt:lpwstr>
  </property>
  <property fmtid="{D5CDD505-2E9C-101B-9397-08002B2CF9AE}" pid="3" name="_dlc_DocIdItemGuid">
    <vt:lpwstr>5e31b0f3-f6bd-4c1d-86ea-4cee984d05b6</vt:lpwstr>
  </property>
  <property fmtid="{D5CDD505-2E9C-101B-9397-08002B2CF9AE}" pid="4" name="_dlc_DocIdUrl">
    <vt:lpwstr>https://midkentgovuk.sharepoint.com/sites/TWBCHR/_layouts/15/DocIdRedir.aspx?ID=RECRUIT-1569300429-179, RECRUIT-1569300429-179</vt:lpwstr>
  </property>
  <property fmtid="{D5CDD505-2E9C-101B-9397-08002B2CF9AE}" pid="5" name="ContentTypeId">
    <vt:lpwstr>0x0101006AA867D2DA1EF249A58DB9C3C30230AB</vt:lpwstr>
  </property>
  <property fmtid="{D5CDD505-2E9C-101B-9397-08002B2CF9AE}" pid="6" name="MediaServiceImageTags">
    <vt:lpwstr/>
  </property>
</Properties>
</file>